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8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8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08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08"/>
        <w:pBdr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  <w:t xml:space="preserve">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08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08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54B1FF">
      <w:pPr>
        <w:pStyle w:val="908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D65C360">
      <w:pPr>
        <w:pStyle w:val="908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352720E">
      <w:pPr>
        <w:pStyle w:val="908"/>
        <w:pBdr/>
        <w:spacing/>
        <w:ind/>
        <w:rPr>
          <w:color w:val="auto"/>
          <w:spacing w:val="-9"/>
          <w:sz w:val="28"/>
          <w:szCs w:val="28"/>
        </w:rPr>
      </w:pPr>
      <w:r>
        <w:rPr>
          <w:color w:val="auto"/>
          <w:spacing w:val="-7"/>
          <w:sz w:val="28"/>
          <w:szCs w:val="28"/>
          <w:lang w:val="uk-UA"/>
        </w:rPr>
        <w:t xml:space="preserve">11 червня </w:t>
      </w:r>
      <w:r>
        <w:rPr>
          <w:color w:val="auto"/>
          <w:spacing w:val="-7"/>
          <w:sz w:val="28"/>
          <w:szCs w:val="28"/>
        </w:rPr>
        <w:t xml:space="preserve">202</w:t>
      </w:r>
      <w:r>
        <w:rPr>
          <w:color w:val="auto"/>
          <w:spacing w:val="-7"/>
          <w:sz w:val="28"/>
          <w:szCs w:val="28"/>
          <w:lang w:val="uk-UA"/>
        </w:rPr>
        <w:t xml:space="preserve">6</w:t>
      </w:r>
      <w:r>
        <w:rPr>
          <w:color w:val="auto"/>
          <w:spacing w:val="-9"/>
          <w:sz w:val="28"/>
          <w:szCs w:val="28"/>
        </w:rPr>
        <w:t xml:space="preserve"> року        </w:t>
      </w:r>
      <w:r>
        <w:rPr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color w:val="auto"/>
          <w:spacing w:val="-9"/>
          <w:sz w:val="28"/>
          <w:szCs w:val="28"/>
          <w:lang w:val="uk-UA"/>
        </w:rPr>
        <w:t xml:space="preserve">м.</w:t>
      </w:r>
      <w:r>
        <w:rPr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</w:rPr>
        <w:t xml:space="preserve">№</w:t>
      </w:r>
      <w:r>
        <w:rPr>
          <w:color w:val="auto"/>
          <w:spacing w:val="-9"/>
          <w:sz w:val="28"/>
          <w:szCs w:val="28"/>
          <w:lang w:val="uk-UA"/>
        </w:rPr>
        <w:t xml:space="preserve"> </w:t>
      </w:r>
      <w:r>
        <w:rPr>
          <w:color w:val="auto"/>
          <w:spacing w:val="-9"/>
          <w:sz w:val="28"/>
          <w:szCs w:val="28"/>
          <w:lang w:val="en-US"/>
        </w:rPr>
        <w:t xml:space="preserve">365</w:t>
      </w:r>
      <w:r>
        <w:rPr>
          <w:color w:val="auto"/>
          <w:spacing w:val="-9"/>
          <w:sz w:val="28"/>
          <w:szCs w:val="28"/>
        </w:rPr>
      </w:r>
    </w:p>
    <w:p w14:paraId="5D7D1FED">
      <w:pPr>
        <w:pStyle w:val="908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shd w:val="clear" w:color="auto" w:fill="ffffff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/>
        <w:ind/>
        <w:jc w:val="both"/>
        <w:rPr>
          <w:sz w:val="28"/>
          <w:szCs w:val="28"/>
          <w:highlight w:val="none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 xml:space="preserve">організоване </w:t>
      </w:r>
      <w:r>
        <w:rPr>
          <w:sz w:val="28"/>
          <w:szCs w:val="28"/>
          <w:shd w:val="clear" w:color="auto" w:fill="ffffff"/>
          <w:lang w:val="uk-UA"/>
        </w:rPr>
        <w:t xml:space="preserve">завершення </w:t>
      </w:r>
      <w:r>
        <w:rPr>
          <w:sz w:val="28"/>
          <w:szCs w:val="28"/>
          <w:highlight w:val="none"/>
          <w:shd w:val="clear" w:color="auto" w:fill="ffffff"/>
          <w:lang w:val="uk-UA"/>
        </w:rPr>
      </w:r>
      <w:r>
        <w:rPr>
          <w:sz w:val="28"/>
          <w:szCs w:val="28"/>
          <w:highlight w:val="none"/>
          <w:shd w:val="clear" w:color="auto" w:fill="ffffff"/>
          <w:lang w:val="uk-UA"/>
        </w:rPr>
      </w:r>
    </w:p>
    <w:p>
      <w:pPr>
        <w:pStyle w:val="908"/>
        <w:pBdr/>
        <w:spacing/>
        <w:ind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202</w:t>
      </w:r>
      <w:r>
        <w:rPr>
          <w:sz w:val="28"/>
          <w:szCs w:val="28"/>
          <w:shd w:val="clear" w:color="auto" w:fill="ffffff"/>
          <w:lang w:val="en-US"/>
        </w:rPr>
        <w:t xml:space="preserve">5</w:t>
      </w:r>
      <w:r>
        <w:rPr>
          <w:sz w:val="28"/>
          <w:szCs w:val="28"/>
          <w:shd w:val="clear" w:color="auto" w:fill="ffffff"/>
          <w:lang w:val="uk-UA"/>
        </w:rPr>
        <w:t xml:space="preserve">/</w:t>
      </w:r>
      <w:r>
        <w:rPr>
          <w:sz w:val="28"/>
          <w:szCs w:val="28"/>
          <w:shd w:val="clear" w:color="auto" w:fill="ffffff"/>
          <w:lang w:val="uk-UA"/>
        </w:rPr>
        <w:t xml:space="preserve">202</w:t>
      </w:r>
      <w:r>
        <w:rPr>
          <w:sz w:val="28"/>
          <w:szCs w:val="28"/>
          <w:shd w:val="clear" w:color="auto" w:fill="ffffff"/>
          <w:lang w:val="en-US"/>
        </w:rPr>
        <w:t xml:space="preserve">6</w:t>
      </w:r>
      <w:r>
        <w:rPr>
          <w:sz w:val="28"/>
          <w:szCs w:val="28"/>
          <w:shd w:val="clear" w:color="auto" w:fill="ffffff"/>
          <w:lang w:val="uk-UA"/>
        </w:rPr>
        <w:t xml:space="preserve"> навчального року</w:t>
      </w:r>
      <w:r>
        <w:rPr>
          <w:sz w:val="28"/>
          <w:szCs w:val="28"/>
          <w:shd w:val="clear" w:color="auto" w:fill="ffffff"/>
          <w:lang w:val="uk-UA"/>
        </w:rPr>
      </w:r>
      <w:r>
        <w:rPr>
          <w:sz w:val="28"/>
          <w:szCs w:val="28"/>
          <w:shd w:val="clear" w:color="auto" w:fill="ffffff"/>
          <w:lang w:val="uk-UA"/>
        </w:rPr>
      </w:r>
    </w:p>
    <w:p>
      <w:pPr>
        <w:pStyle w:val="908"/>
        <w:pBdr/>
        <w:spacing/>
        <w:ind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</w:r>
      <w:r>
        <w:rPr>
          <w:sz w:val="28"/>
          <w:szCs w:val="28"/>
          <w:shd w:val="clear" w:color="auto" w:fill="ffffff"/>
          <w:lang w:val="uk-UA"/>
        </w:rPr>
      </w:r>
    </w:p>
    <w:p w14:paraId="313BCF5D">
      <w:pPr>
        <w:pBdr/>
        <w:spacing/>
        <w:ind w:firstLine="567"/>
        <w:jc w:val="both"/>
        <w:rPr>
          <w:sz w:val="28"/>
          <w:szCs w:val="28"/>
          <w:highlight w:val="none"/>
          <w:shd w:val="clear" w:color="auto" w:fill="ffffff"/>
          <w:lang w:val="uk-UA"/>
        </w:rPr>
      </w:pPr>
      <w:r>
        <w:rPr>
          <w:rStyle w:val="924"/>
          <w:bCs/>
          <w:i w:val="0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Ві</w:t>
      </w:r>
      <w:r>
        <w:rPr>
          <w:sz w:val="28"/>
          <w:szCs w:val="28"/>
          <w:lang w:val="uk-UA"/>
        </w:rPr>
        <w:t xml:space="preserve">дповідно до статті 32 Закону України «Про місцеве самоврядування в Україні», законів України «Про освіту», «Про дошкільну освіту», «Про повну загальну середню освіту», Кодексу цивільного захисту України, Закону України «Про правовий режим воєнного стану», </w:t>
      </w:r>
      <w:r>
        <w:rPr>
          <w:sz w:val="28"/>
          <w:szCs w:val="28"/>
          <w:lang w:val="uk-UA"/>
        </w:rPr>
        <w:t xml:space="preserve">лист МОН України від 14.05.2026 № 1/10243-26 «Про підготовку закладів освіти до нового навчального року та проходження осінньо-зимового періоду 2026/27 року», </w:t>
      </w:r>
      <w:r>
        <w:rPr>
          <w:sz w:val="28"/>
          <w:szCs w:val="28"/>
          <w:lang w:val="uk-UA"/>
        </w:rPr>
        <w:t xml:space="preserve">з метою забезпечення належної підготовки закладів освіти Берестинської міської територіальної громади до початку 2026/2027 навчального року та роботи в осінньо-зимовий період, створення безпечних і нешкідливих умов дл</w:t>
      </w:r>
      <w:r>
        <w:rPr>
          <w:sz w:val="28"/>
          <w:szCs w:val="28"/>
          <w:lang w:val="uk-UA"/>
        </w:rPr>
        <w:t xml:space="preserve">я учасників освітнього процесу,</w:t>
      </w:r>
      <w:r>
        <w:rPr>
          <w:sz w:val="28"/>
          <w:szCs w:val="28"/>
          <w:lang w:val="uk-UA"/>
        </w:rPr>
        <w:t xml:space="preserve"> в умовах воєнного стану, заслухавши інформацію начальника відділу освіти, виконавчий комітет Берестинської міської ради</w:t>
      </w:r>
      <w:r>
        <w:rPr>
          <w:sz w:val="28"/>
          <w:szCs w:val="28"/>
          <w:shd w:val="clear" w:color="auto" w:fill="ffffff"/>
          <w:lang w:val="uk-UA"/>
        </w:rPr>
      </w:r>
      <w:r>
        <w:rPr>
          <w:sz w:val="28"/>
          <w:szCs w:val="28"/>
          <w:highlight w:val="none"/>
          <w:shd w:val="clear" w:color="auto" w:fill="ffffff"/>
          <w:lang w:val="uk-UA"/>
        </w:rPr>
      </w:r>
    </w:p>
    <w:p w14:paraId="00E9FF0B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shd w:val="clear" w:color="auto" w:fill="ffffff"/>
          <w:lang w:val="uk-UA" w:bidi="uk-UA"/>
        </w:rPr>
      </w:r>
      <w:r>
        <w:rPr>
          <w:sz w:val="28"/>
          <w:szCs w:val="28"/>
          <w:highlight w:val="none"/>
          <w:shd w:val="clear" w:color="auto" w:fill="ffffff"/>
          <w:lang w:val="uk-UA"/>
        </w:rPr>
      </w:r>
      <w:r>
        <w:rPr>
          <w:sz w:val="28"/>
          <w:szCs w:val="28"/>
          <w:lang w:val="uk-UA"/>
        </w:rPr>
      </w:r>
    </w:p>
    <w:p w14:paraId="3287BA57"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AC78052">
      <w:pPr>
        <w:pStyle w:val="873"/>
        <w:numPr>
          <w:ilvl w:val="0"/>
          <w:numId w:val="8"/>
        </w:numPr>
        <w:pBdr/>
        <w:tabs>
          <w:tab w:val="left" w:leader="none" w:pos="851"/>
        </w:tabs>
        <w:spacing/>
        <w:ind w:firstLine="567" w:left="0"/>
        <w:jc w:val="both"/>
        <w:rPr>
          <w:b w:val="0"/>
          <w:bCs w:val="0"/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Інформацію  відділу освіти Берестинської міської ради про </w:t>
      </w:r>
      <w:r>
        <w:rPr>
          <w:b w:val="0"/>
          <w:bCs w:val="0"/>
          <w:sz w:val="28"/>
          <w:szCs w:val="28"/>
          <w:lang w:val="uk-UA"/>
        </w:rPr>
        <w:t xml:space="preserve">завершення 202</w:t>
      </w:r>
      <w:r>
        <w:rPr>
          <w:b w:val="0"/>
          <w:bCs w:val="0"/>
          <w:sz w:val="28"/>
          <w:szCs w:val="28"/>
          <w:lang w:val="en-US"/>
        </w:rPr>
        <w:t xml:space="preserve">5</w:t>
      </w:r>
      <w:r>
        <w:rPr>
          <w:b w:val="0"/>
          <w:bCs w:val="0"/>
          <w:sz w:val="28"/>
          <w:szCs w:val="28"/>
          <w:lang w:val="uk-UA"/>
        </w:rPr>
        <w:t xml:space="preserve">/202</w:t>
      </w:r>
      <w:r>
        <w:rPr>
          <w:b w:val="0"/>
          <w:bCs w:val="0"/>
          <w:sz w:val="28"/>
          <w:szCs w:val="28"/>
          <w:lang w:val="en-US"/>
        </w:rPr>
        <w:t xml:space="preserve">6</w:t>
      </w:r>
      <w:r>
        <w:rPr>
          <w:b w:val="0"/>
          <w:bCs w:val="0"/>
          <w:sz w:val="28"/>
          <w:szCs w:val="28"/>
          <w:lang w:val="uk-UA"/>
        </w:rPr>
        <w:t xml:space="preserve"> навчального року</w:t>
      </w:r>
      <w:r>
        <w:rPr>
          <w:b w:val="0"/>
          <w:bCs w:val="0"/>
          <w:sz w:val="28"/>
          <w:szCs w:val="28"/>
          <w:lang w:val="uk-UA"/>
        </w:rPr>
        <w:t xml:space="preserve"> взяти до відома (додаток 1).</w:t>
      </w:r>
      <w:r>
        <w:rPr>
          <w:b w:val="0"/>
          <w:bCs w:val="0"/>
          <w:sz w:val="28"/>
          <w:szCs w:val="28"/>
          <w:lang w:val="uk-UA"/>
        </w:rPr>
      </w:r>
      <w:r>
        <w:rPr>
          <w:b w:val="0"/>
          <w:bCs w:val="0"/>
          <w:sz w:val="28"/>
          <w:szCs w:val="28"/>
        </w:rPr>
      </w:r>
    </w:p>
    <w:p w14:paraId="57A1019F">
      <w:pPr>
        <w:pStyle w:val="873"/>
        <w:numPr>
          <w:ilvl w:val="0"/>
          <w:numId w:val="8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План заходів щодо підготовки закладів освіти Берестинської міської територіальної громади до початку 2026/2027 навчального року та роботи в осінньо-зимовий період </w:t>
      </w:r>
      <w:r>
        <w:rPr>
          <w:sz w:val="28"/>
          <w:szCs w:val="28"/>
          <w:lang w:val="uk-UA"/>
        </w:rPr>
        <w:t xml:space="preserve">(додаток 2)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6B0EAA">
      <w:pPr>
        <w:pStyle w:val="873"/>
        <w:numPr>
          <w:ilvl w:val="0"/>
          <w:numId w:val="8"/>
        </w:numPr>
        <w:pBdr/>
        <w:tabs>
          <w:tab w:val="left" w:leader="none" w:pos="851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Керівникам закладів освіти забезпечити: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B9D69C8">
      <w:pPr>
        <w:pStyle w:val="873"/>
        <w:numPr>
          <w:ilvl w:val="1"/>
          <w:numId w:val="8"/>
        </w:numPr>
        <w:pBdr/>
        <w:tabs>
          <w:tab w:val="left" w:leader="none" w:pos="709"/>
          <w:tab w:val="left" w:leader="none" w:pos="1134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Виконання затвердженого плану заходів;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486948E">
      <w:pPr>
        <w:pStyle w:val="873"/>
        <w:numPr>
          <w:ilvl w:val="1"/>
          <w:numId w:val="8"/>
        </w:numPr>
        <w:pBdr/>
        <w:tabs>
          <w:tab w:val="left" w:leader="none" w:pos="709"/>
          <w:tab w:val="left" w:leader="none" w:pos="1134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Готовність закладів освіти та укриттів до </w:t>
      </w:r>
      <w:r>
        <w:rPr>
          <w:sz w:val="28"/>
          <w:szCs w:val="28"/>
          <w:lang w:val="uk-UA"/>
        </w:rPr>
        <w:t xml:space="preserve">початку нового навчального року;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829DEEE">
      <w:pPr>
        <w:pStyle w:val="873"/>
        <w:numPr>
          <w:ilvl w:val="1"/>
          <w:numId w:val="8"/>
        </w:numPr>
        <w:pBdr/>
        <w:tabs>
          <w:tab w:val="left" w:leader="none" w:pos="709"/>
          <w:tab w:val="left" w:leader="none" w:pos="1134"/>
        </w:tabs>
        <w:spacing/>
        <w:ind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Своєчасне отримання та видачу документів про освіту випускникам відповідно до вимог законодавства.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407D81">
      <w:pPr>
        <w:pBdr/>
        <w:tabs>
          <w:tab w:val="left" w:leader="none" w:pos="709"/>
          <w:tab w:val="left" w:leader="none" w:pos="851"/>
        </w:tabs>
        <w:spacing/>
        <w:ind w:right="0"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4. Відділу освіти Берестинської міської ради: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A8CB75D">
      <w:pPr>
        <w:pBdr/>
        <w:tabs>
          <w:tab w:val="left" w:leader="none" w:pos="709"/>
          <w:tab w:val="left" w:leader="none" w:pos="1134"/>
        </w:tabs>
        <w:spacing/>
        <w:ind w:right="0"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4.1. Здійснювати координацію роботи щодо підготовки закладів освіти до нового навчального року.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82BE7FD">
      <w:pPr>
        <w:pBdr/>
        <w:tabs>
          <w:tab w:val="left" w:leader="none" w:pos="709"/>
          <w:tab w:val="left" w:leader="none" w:pos="1134"/>
        </w:tabs>
        <w:spacing/>
        <w:ind w:right="0"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 Проаналізувати наявну мережу закладів освіти та надати пропозиції щодо її оптимізації на 2025/2026 навчальний рік.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9A94D16">
      <w:pPr>
        <w:pBdr/>
        <w:tabs>
          <w:tab w:val="left" w:leader="none" w:pos="851"/>
        </w:tabs>
        <w:spacing/>
        <w:ind w:right="0" w:firstLine="567"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</w:t>
      </w:r>
      <w:r>
        <w:rPr>
          <w:sz w:val="28"/>
          <w:szCs w:val="28"/>
          <w:lang w:val="uk-UA"/>
        </w:rPr>
        <w:t xml:space="preserve">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A5AE63D">
      <w:pPr>
        <w:pStyle w:val="908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bCs/>
          <w:sz w:val="28"/>
          <w:szCs w:val="28"/>
          <w:lang w:eastAsia="uk-UA"/>
        </w:rPr>
        <w:t xml:space="preserve"> </w:t>
      </w: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                                     </w:t>
      </w:r>
      <w:r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/>
        <w:ind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  <w:r>
        <w:rPr>
          <w:sz w:val="24"/>
          <w:szCs w:val="24"/>
          <w:lang w:val="uk-UA" w:eastAsia="uk-UA"/>
        </w:rPr>
      </w:r>
    </w:p>
    <w:p>
      <w:pPr>
        <w:pStyle w:val="908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uk-UA"/>
        </w:rPr>
        <w:t xml:space="preserve">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</w:t>
      </w:r>
      <w:r>
        <w:rPr>
          <w:sz w:val="24"/>
          <w:szCs w:val="24"/>
          <w:lang w:val="uk-UA"/>
        </w:rPr>
        <w:t xml:space="preserve">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11</w:t>
      </w:r>
      <w:r>
        <w:rPr>
          <w:sz w:val="24"/>
          <w:szCs w:val="24"/>
          <w:lang w:val="uk-UA"/>
        </w:rPr>
        <w:t xml:space="preserve">.06.2026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</w:t>
      </w:r>
      <w:r>
        <w:rPr>
          <w:sz w:val="24"/>
          <w:szCs w:val="24"/>
          <w:lang w:val="en-US"/>
        </w:rPr>
        <w:t xml:space="preserve"> 365</w:t>
      </w:r>
      <w:r>
        <w:rPr>
          <w:sz w:val="24"/>
          <w:szCs w:val="24"/>
          <w:lang w:val="uk-UA"/>
        </w:rPr>
      </w:r>
    </w:p>
    <w:p>
      <w:pPr>
        <w:pStyle w:val="908"/>
        <w:pBdr/>
        <w:spacing/>
        <w:ind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</w:r>
      <w:r>
        <w:rPr>
          <w:b/>
          <w:sz w:val="26"/>
          <w:szCs w:val="26"/>
          <w:lang w:val="uk-UA"/>
        </w:rPr>
      </w:r>
      <w:r>
        <w:rPr>
          <w:b/>
          <w:sz w:val="26"/>
          <w:szCs w:val="26"/>
          <w:lang w:val="uk-UA"/>
        </w:rPr>
      </w:r>
    </w:p>
    <w:p>
      <w:pPr>
        <w:pStyle w:val="90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Інформація відділу освіти міської ради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завершення 202</w:t>
      </w:r>
      <w:r>
        <w:rPr>
          <w:b/>
          <w:sz w:val="28"/>
          <w:szCs w:val="28"/>
          <w:lang w:val="en-US"/>
        </w:rPr>
        <w:t xml:space="preserve">5</w:t>
      </w:r>
      <w:r>
        <w:rPr>
          <w:b/>
          <w:sz w:val="28"/>
          <w:szCs w:val="28"/>
          <w:lang w:val="uk-UA"/>
        </w:rPr>
        <w:t xml:space="preserve">/202</w:t>
      </w:r>
      <w:r>
        <w:rPr>
          <w:b/>
          <w:sz w:val="28"/>
          <w:szCs w:val="28"/>
          <w:lang w:val="en-US"/>
        </w:rPr>
        <w:t xml:space="preserve">6</w:t>
      </w:r>
      <w:r>
        <w:rPr>
          <w:b/>
          <w:sz w:val="28"/>
          <w:szCs w:val="28"/>
          <w:lang w:val="uk-UA"/>
        </w:rPr>
        <w:t xml:space="preserve"> навчального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08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23F1BC43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</w:t>
      </w:r>
      <w:r>
        <w:rPr>
          <w:sz w:val="28"/>
          <w:szCs w:val="28"/>
          <w:lang w:val="en-US"/>
        </w:rPr>
        <w:t xml:space="preserve">6</w:t>
      </w:r>
      <w:r>
        <w:rPr>
          <w:sz w:val="28"/>
          <w:szCs w:val="28"/>
          <w:lang w:val="uk-UA"/>
        </w:rPr>
        <w:t xml:space="preserve">/202</w:t>
      </w:r>
      <w:r>
        <w:rPr>
          <w:sz w:val="28"/>
          <w:szCs w:val="28"/>
          <w:lang w:val="en-US"/>
        </w:rPr>
        <w:t xml:space="preserve">7</w:t>
      </w:r>
      <w:r>
        <w:rPr>
          <w:sz w:val="28"/>
          <w:szCs w:val="28"/>
          <w:lang w:val="uk-UA"/>
        </w:rPr>
        <w:t xml:space="preserve"> навчальному році робота відді</w:t>
      </w:r>
      <w:r>
        <w:rPr>
          <w:sz w:val="28"/>
          <w:szCs w:val="28"/>
          <w:lang w:val="uk-UA"/>
        </w:rPr>
        <w:t xml:space="preserve">лу освіти Берестинської міської ради була спрямована на реалізацію державної політики у сфері освіти, забезпечення стабільного функціонування закладів освіти громади та створення безпечних умов для всіх учасників освітнього процесу в умовах воєнного стану.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22FEE5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Попри складну безпекову ситуацію, освітянам громади вдало</w:t>
      </w:r>
      <w:r>
        <w:rPr>
          <w:sz w:val="28"/>
          <w:szCs w:val="28"/>
          <w:lang w:val="uk-UA"/>
        </w:rPr>
        <w:t xml:space="preserve">ся забезпечити безперервність освітнього процесу та належні умови для здобуття освіти. Освітній процес у 9 закладах загальної середньої освіти та 1 філії, 6 закладах дошкільної освіти та 3 закладах позашкільної освіти було організовано у змішаному форматі.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DB6CDD2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забезпечення безпечного освітнього середовища використовувалися 7 найпростіших укриттів. На їх базі було орга</w:t>
      </w:r>
      <w:r>
        <w:rPr>
          <w:sz w:val="28"/>
          <w:szCs w:val="28"/>
          <w:lang w:val="uk-UA"/>
        </w:rPr>
        <w:t xml:space="preserve">нізовано навчання та виховання дітей як із закладів, що мають укриття, так і з тих, де такі споруди відсутні. Для підвезення учнів і вихованців було організовано транспортне сполучення, а в закладах загальної середньої освіти забезпечено гаряче харчування.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Завдяки чіткій організації освітнього процесу, використанню електронних освітніх ресурсів та ефективній взаємодії педагогів, учнів і батьків вдалося забезпечити виконання освітніх програм та досягнення визначених результатів навчання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A9125A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затвердженої мережі освітніми послугами було охоплено: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5A1E5C">
      <w:pPr>
        <w:numPr>
          <w:ilvl w:val="0"/>
          <w:numId w:val="9"/>
        </w:num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2964 учні закладів загальної середньої освіти;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E7E1F5B">
      <w:pPr>
        <w:numPr>
          <w:ilvl w:val="0"/>
          <w:numId w:val="9"/>
        </w:num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607 дітей дошкільного віку;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BE1E2D">
      <w:pPr>
        <w:numPr>
          <w:ilvl w:val="0"/>
          <w:numId w:val="9"/>
        </w:num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1887 вихованців закладів позашкільної освіти.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01E9305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порівнянні з попереднім навчальним роком кількість учнів у громаді зменшилася на 99 осіб. До перших класів було зараховано 202 учні, що на 60 менше, ніж у 2024/2025 навчальному році.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D384123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Освітній процес забезпечували: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0E76B5B">
      <w:pPr>
        <w:numPr>
          <w:ilvl w:val="0"/>
          <w:numId w:val="9"/>
        </w:numPr>
        <w:pBdr/>
        <w:tabs>
          <w:tab w:val="num" w:leader="none" w:pos="567"/>
          <w:tab w:val="clear" w:leader="none" w:pos="720"/>
        </w:tabs>
        <w:spacing/>
        <w:ind w:firstLine="425"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95 педагогічних працівників закладів дошкільної освіти (забезпеченість кадрами – 77,7 %);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B58FA8">
      <w:pPr>
        <w:numPr>
          <w:ilvl w:val="0"/>
          <w:numId w:val="9"/>
        </w:numPr>
        <w:pBdr/>
        <w:tabs>
          <w:tab w:val="num" w:leader="none" w:pos="567"/>
          <w:tab w:val="clear" w:leader="none" w:pos="720"/>
        </w:tabs>
        <w:spacing/>
        <w:ind w:firstLine="425"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314 педагогічних працівників закладів загальної середньої освіти (97,6 %);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6E9235F">
      <w:pPr>
        <w:numPr>
          <w:ilvl w:val="0"/>
          <w:numId w:val="9"/>
        </w:numPr>
        <w:pBdr/>
        <w:tabs>
          <w:tab w:val="num" w:leader="none" w:pos="567"/>
          <w:tab w:val="clear" w:leader="none" w:pos="720"/>
        </w:tabs>
        <w:spacing/>
        <w:ind w:firstLine="425"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36 педагогічних працівників закладів позашкільної освіти (82,7 %).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1488D3C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Підвезення до закладів освіти здійснювалося 13 транспортними засобами. Послугами підвозу було охоплено 895 учнів. Гарячим харчуванням забезпечено 2129 учнів закладів загальної середньої освіти.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1D728AC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Одним із пріоритетних напрямів роботи залишалося забезпечення права на освіту дітей з особливими освітніми потребами. У закладах загальної середньої освіти функціонували 53 інклюзивні кла</w:t>
      </w:r>
      <w:r>
        <w:rPr>
          <w:sz w:val="28"/>
          <w:szCs w:val="28"/>
          <w:lang w:val="uk-UA"/>
        </w:rPr>
        <w:t xml:space="preserve">си, у яких навчалися 70 учнів з особливими освітніми потребами. Педагогічним патронажем було охоплено 53 дитини. У закладах дошкільної освіти працювали 15 інклюзивних груп для 21 вихованця та 2 спеціальні групи в Берестинському ЗДО № 3, які відвідували 17 </w:t>
      </w:r>
      <w:r>
        <w:rPr>
          <w:sz w:val="28"/>
          <w:szCs w:val="28"/>
          <w:lang w:val="uk-UA"/>
        </w:rPr>
        <w:t xml:space="preserve">дітей. Психолого-педагогічний супровід та консультативну допомогу забезпечував КУ «Берестинський інклюзивно-ресурсний центр».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A94F874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умовах воєнного стану зберігається тенденція до збільшення кількості учнів, які здобувають освіту за сімейною (домашньою) формою. У семи закладах загальної середньої освіти такою формою навчання було охоплено 166 учнів.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8717626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2025/2026 навчальному році здобувачів освіти, які завершували здобуття початкової, базової та повної загальної середньої освіти, звільнено від проходження державної підсумкової атестації.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1880B3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Свідоцтва про здобуття базової середньої освіти отримали 317 випускників 9-х класів, з них 33 – з відзнакою. Свідоцтва про здобуття повної загальної середньої освіти отримали 168 випускників 11-х класів, з них 34 – з відзнакою.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607AB0A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Вручення документів про освіту здійснюється відповідно до затверджених графіків. Урочисті заходи з нагоди випуску учнів 11-х класів проводяться в закладах освіти, які мають укриття, а також в актовій залі міської ради та Будинку техніки.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99690D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Важливим показником якості освіти залишаються результати національного мультипредметного тесту. Із 168 випускників закладів загальної середньої освіти громади участь у НМТ підтвердили 134 учні, з них 12 складатимуть тестування за кордоном.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B45C44D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Упродовж року значна увага приділялася розвитку безпеч</w:t>
      </w:r>
      <w:r>
        <w:rPr>
          <w:sz w:val="28"/>
          <w:szCs w:val="28"/>
          <w:lang w:val="uk-UA"/>
        </w:rPr>
        <w:t xml:space="preserve">ного освітнього середовища та покращенню матеріально-технічної бази. Завершено будівництво укриття в Берестинському ліцеї № 1, тривають роботи з будівництва укриття в Берестинському ліцеї № 3, проводиться капітальний ремонт покрівлі Берестинського ЗДО № 2.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DD1881A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Паралельно здійснюється підготовка</w:t>
      </w:r>
      <w:r>
        <w:rPr>
          <w:sz w:val="28"/>
          <w:szCs w:val="28"/>
          <w:lang w:val="uk-UA"/>
        </w:rPr>
        <w:t xml:space="preserve"> до 2026/2027 навчального року. Станом на 31 травня 2026 року подано 196 заяви про зарахування дітей до перших класів. Проведено аналіз перспективної мережі закладів освіти та співбесіди з керівниками щодо попереднього розподілу педагогічного навантаження.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CD34914">
      <w:pPr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Формат організації освітнього процесу у 2026/2027 навчальному році визначатиметься індивідуально для кожного закладу освіти залежно від безпекової ситуації, наявності та місткості укриттів, а також результатів обстеження закладів відповідними комісіями.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2"/>
        <w:pBdr/>
        <w:spacing w:after="0" w:afterAutospacing="0" w:before="0" w:beforeAutospacing="0"/>
        <w:ind w:firstLine="567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lang w:val="uk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"/>
        </w:rPr>
      </w:pPr>
      <w:r>
        <w:rPr>
          <w:rFonts w:ascii="Times New Roman" w:hAnsi="Times New Roman"/>
          <w:sz w:val="28"/>
          <w:szCs w:val="28"/>
          <w:lang w:val="uk"/>
        </w:rPr>
      </w:r>
      <w:r>
        <w:rPr>
          <w:rFonts w:ascii="Times New Roman" w:hAnsi="Times New Roman"/>
          <w:sz w:val="28"/>
          <w:szCs w:val="28"/>
          <w:lang w:val="uk"/>
        </w:rPr>
      </w:r>
      <w:r>
        <w:rPr>
          <w:rFonts w:ascii="Times New Roman" w:hAnsi="Times New Roman"/>
          <w:sz w:val="28"/>
          <w:szCs w:val="28"/>
          <w:lang w:val="uk"/>
        </w:rPr>
      </w:r>
    </w:p>
    <w:p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Антоніна ТУРОВА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084C4535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2630056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9E22AA7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5AC5A5C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8D7AA49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4AE8DB3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951990A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324D99D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32D6FD2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311BDE6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AEFC5F5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DCDF8C8"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Додаток </w:t>
      </w:r>
      <w:r>
        <w:rPr>
          <w:sz w:val="24"/>
          <w:szCs w:val="24"/>
          <w:lang w:val="uk-UA"/>
        </w:rPr>
        <w:t xml:space="preserve">2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23E69080"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до р</w:t>
      </w:r>
      <w:r>
        <w:rPr>
          <w:sz w:val="24"/>
          <w:szCs w:val="24"/>
          <w:lang w:val="uk-UA"/>
        </w:rPr>
        <w:t xml:space="preserve">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68F6C4ED"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</w:t>
      </w:r>
      <w:r>
        <w:rPr>
          <w:sz w:val="24"/>
          <w:szCs w:val="24"/>
          <w:lang w:val="uk-UA"/>
        </w:rPr>
        <w:t xml:space="preserve"> міської ради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 w14:paraId="639F8751">
      <w:pPr>
        <w:pStyle w:val="908"/>
        <w:pBdr/>
        <w:spacing/>
        <w:ind w:left="59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 </w:t>
      </w:r>
      <w:r>
        <w:rPr>
          <w:sz w:val="24"/>
          <w:szCs w:val="24"/>
          <w:lang w:val="uk-UA"/>
        </w:rPr>
        <w:t xml:space="preserve">11</w:t>
      </w:r>
      <w:r>
        <w:rPr>
          <w:sz w:val="24"/>
          <w:szCs w:val="24"/>
          <w:lang w:val="uk-UA"/>
        </w:rPr>
        <w:t xml:space="preserve">.06.2026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№</w:t>
      </w:r>
      <w:r>
        <w:rPr>
          <w:sz w:val="24"/>
          <w:szCs w:val="24"/>
          <w:lang w:val="en-US"/>
        </w:rPr>
        <w:t xml:space="preserve"> 365</w:t>
      </w:r>
      <w:r>
        <w:rPr>
          <w:sz w:val="24"/>
          <w:szCs w:val="24"/>
          <w:lang w:val="uk-UA"/>
        </w:rPr>
      </w:r>
    </w:p>
    <w:p>
      <w:pPr>
        <w:pStyle w:val="926"/>
        <w:pBdr/>
        <w:spacing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 w14:paraId="7114F816">
      <w:pPr>
        <w:pBdr/>
        <w:spacing/>
        <w:ind/>
        <w:jc w:val="center"/>
        <w:rPr>
          <w:sz w:val="28"/>
          <w:szCs w:val="28"/>
          <w:lang w:val="uk-UA"/>
        </w:rPr>
      </w:pPr>
      <w:r/>
      <w:bookmarkStart w:id="0" w:name="додаток"/>
      <w:r>
        <w:rPr>
          <w:sz w:val="28"/>
          <w:szCs w:val="28"/>
          <w:lang w:val="uk-UA"/>
        </w:rPr>
        <w:t xml:space="preserve">Додаток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FFDA83E">
      <w:pPr>
        <w:pBdr/>
        <w:spacing/>
        <w:ind/>
        <w:jc w:val="center"/>
        <w:rPr>
          <w:sz w:val="28"/>
          <w:szCs w:val="28"/>
          <w:lang w:val="uk-UA"/>
        </w:rPr>
      </w:pPr>
      <w:r/>
      <w:bookmarkStart w:id="1" w:name="Xc471d2d6fb7a652f3812a6d5b3c48a0061d6ad1"/>
      <w:r/>
      <w:bookmarkEnd w:id="0"/>
      <w:r>
        <w:rPr>
          <w:sz w:val="28"/>
          <w:szCs w:val="28"/>
          <w:lang w:val="uk-UA"/>
        </w:rPr>
        <w:t xml:space="preserve">План заходів щодо підготовки підпорядкованих закладів освіти до початку 2026/2027 навчального року</w:t>
      </w:r>
      <w:bookmarkStart w:id="2" w:name="організаційні-заходи"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tbl>
      <w:tblPr>
        <w:tblStyle w:val="933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20" w:firstRow="1" w:lastRow="0" w:firstColumn="0" w:lastColumn="0" w:noHBand="0" w:noVBand="0"/>
      </w:tblPr>
      <w:tblGrid>
        <w:gridCol w:w="1050"/>
        <w:gridCol w:w="3759"/>
        <w:gridCol w:w="1693"/>
        <w:gridCol w:w="3126"/>
      </w:tblGrid>
      <w:tr>
        <w:trPr>
          <w:tblHeader/>
        </w:trPr>
        <w:tc>
          <w:tcPr>
            <w:gridSpan w:val="4"/>
            <w:tcBorders/>
            <w:tcW w:w="10031" w:type="dxa"/>
            <w:textDirection w:val="lrTb"/>
            <w:noWrap w:val="false"/>
          </w:tcPr>
          <w:p w14:paraId="1129FE28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557"/>
          <w:tblHeader/>
        </w:trPr>
        <w:tc>
          <w:tcPr>
            <w:tcBorders>
              <w:bottom w:val="none" w:color="000000" w:sz="0" w:space="0"/>
            </w:tcBorders>
            <w:tcW w:w="1088" w:type="dxa"/>
            <w:textDirection w:val="lrTb"/>
            <w:noWrap w:val="false"/>
          </w:tcPr>
          <w:p w14:paraId="2D2A61D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>
              <w:bottom w:val="none" w:color="000000" w:sz="0" w:space="0"/>
            </w:tcBorders>
            <w:tcW w:w="3922" w:type="dxa"/>
            <w:textDirection w:val="lrTb"/>
            <w:noWrap w:val="false"/>
          </w:tcPr>
          <w:p w14:paraId="0966BD78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Захід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>
              <w:bottom w:val="none" w:color="000000" w:sz="0" w:space="0"/>
            </w:tcBorders>
            <w:tcW w:w="1761" w:type="dxa"/>
            <w:textDirection w:val="lrTb"/>
            <w:noWrap w:val="false"/>
          </w:tcPr>
          <w:p w14:paraId="5F744568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Термін виконання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>
              <w:bottom w:val="none" w:color="000000" w:sz="0" w:space="0"/>
            </w:tcBorders>
            <w:tcW w:w="3260" w:type="dxa"/>
            <w:textDirection w:val="lrTb"/>
            <w:noWrap w:val="false"/>
          </w:tcPr>
          <w:p w14:paraId="79191F5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Відповідальні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496"/>
        </w:trPr>
        <w:tc>
          <w:tcPr>
            <w:gridSpan w:val="4"/>
            <w:tcBorders/>
            <w:tcW w:w="10031" w:type="dxa"/>
            <w:textDirection w:val="lrTb"/>
            <w:noWrap w:val="false"/>
          </w:tcPr>
          <w:p w14:paraId="34DA1834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 Організаційні заходи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18D349A9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37F63909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Розробити та затвердити плани підготовки закладів освіти до нового навчального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26609D0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15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6D07660F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76BB433F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6B31EDB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аналіз мережі класів (груп), контингенту учнів та вихованців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172F1944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15.08.2026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7CFE18C9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13F4F83F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6AF7792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Завершити комплектування класів та груп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3B10CBD9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31</w:t>
            </w:r>
            <w:bookmarkStart w:id="3" w:name="_GoBack"/>
            <w:r/>
            <w:bookmarkEnd w:id="3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1FF6E1B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>
          <w:trHeight w:val="1276"/>
        </w:trPr>
        <w:tc>
          <w:tcPr>
            <w:tcBorders/>
            <w:tcW w:w="1088" w:type="dxa"/>
            <w:textDirection w:val="lrTb"/>
            <w:noWrap w:val="false"/>
          </w:tcPr>
          <w:p w14:paraId="71CD927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1.4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3530440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готовність закладів освіти до організованого початку навчального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3A45D2E4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4FAB8F67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4EE0038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4"/>
            <w:tcBorders/>
            <w:tcW w:w="10031" w:type="dxa"/>
            <w:textDirection w:val="lrTb"/>
            <w:noWrap w:val="false"/>
          </w:tcPr>
          <w:p w14:paraId="09BABCD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 Кадрове забезпечення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0AE79691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2F6DCE79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Укомплектувати заклади освіти педагогічними працівниками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06F1614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17695FA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4FC9D01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42386AA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тарифікацію педагогічних працівників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41900F1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07E117C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619D458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«ЦОЗУО»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62A251DD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08C4D17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4D31705C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проходження обов’язкових медичних оглядів працівниками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2FC9DC8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25F4DC5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4"/>
            <w:tcBorders/>
            <w:tcW w:w="10031" w:type="dxa"/>
            <w:textDirection w:val="lrTb"/>
            <w:noWrap w:val="false"/>
          </w:tcPr>
          <w:p w14:paraId="38B27CCD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 Створення безпечних умов освітнього процесу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7F07D9D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1E39C1E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Оновити плани евакуації та алгоритми дій у разі надзвичайних ситуацій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0DD51CB5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20.08.2026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6E9EA45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6FBB182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3.3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6F2BA067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інструктажі з охорони праці, безпеки життєдіяльності та пожежної безпеки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23FE4B5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серпень 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26EDEF2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4"/>
            <w:tcBorders/>
            <w:tcW w:w="10031" w:type="dxa"/>
            <w:textDirection w:val="lrTb"/>
            <w:noWrap w:val="false"/>
          </w:tcPr>
          <w:p w14:paraId="41904F5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4. Матеріально-технічна підготовка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6293BA2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30E721A7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highlight w:val="none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поточні ремонтні роботи в приміщеннях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70C71F7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uk-UA" w:bidi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uk-UA" w:bidi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1BAE25B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05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7052062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highlight w:val="none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  <w:lang w:val="uk-UA"/>
              </w:rPr>
            </w:r>
          </w:p>
          <w:p w14:paraId="46AF658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7E9DDD8D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0D469F01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72E23F5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Перевірити стан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систем опалення до роботи в осінньо-зимовий період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104F9648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0B5D095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«ЦОЗУО»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1598F75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648E40E8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056596D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Перевірити стан меблів, навчального обладнання та технічних засобів навчання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1EB5F748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20.08.2026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49B0C37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4"/>
            <w:tcBorders/>
            <w:tcW w:w="10031" w:type="dxa"/>
            <w:textDirection w:val="lrTb"/>
            <w:noWrap w:val="false"/>
          </w:tcPr>
          <w:p w14:paraId="380EAE27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 Організація харчування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707F1F4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22FA520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Перевірити готовність харчоблоків до роботи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145F918D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20.08.2026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33B500A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008EB07F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7A45103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організацію харчування відповідно до вимог законодавства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6D92BF1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0B7C5D3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0BF5A8FC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6D9C48DF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лабораторні дослідження якості питної води (за потреби)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6304591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22694F1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4"/>
            <w:tcBorders/>
            <w:tcW w:w="10031" w:type="dxa"/>
            <w:textDirection w:val="lrTb"/>
            <w:noWrap w:val="false"/>
          </w:tcPr>
          <w:p w14:paraId="4C03A8A9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 Підготовка захисних споруд цивільного захисту та забезпечення безпечного освітнього середовища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vAlign w:val="center"/>
            <w:textDirection w:val="lrTb"/>
            <w:noWrap w:val="false"/>
          </w:tcPr>
          <w:p w14:paraId="75D759F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vAlign w:val="center"/>
            <w:textDirection w:val="lrTb"/>
            <w:noWrap w:val="false"/>
          </w:tcPr>
          <w:p w14:paraId="00FD200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обстеження захисних споруд цивільного захисту та найпростіших укриттів, які використовуються для укриття учасників освітнього процесу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vAlign w:val="center"/>
            <w:textDirection w:val="lrTb"/>
            <w:noWrap w:val="false"/>
          </w:tcPr>
          <w:p w14:paraId="3DBD7CE1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vAlign w:val="center"/>
            <w:textDirection w:val="lrTb"/>
            <w:noWrap w:val="false"/>
          </w:tcPr>
          <w:p w14:paraId="1104E55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vAlign w:val="center"/>
            <w:textDirection w:val="lrTb"/>
            <w:noWrap w:val="false"/>
          </w:tcPr>
          <w:p w14:paraId="289CB351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vAlign w:val="center"/>
            <w:textDirection w:val="lrTb"/>
            <w:noWrap w:val="false"/>
          </w:tcPr>
          <w:p w14:paraId="12AB131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виконання заходів щодо усунення виявлених недоліків та приведення укриттів у готовність до використання за призначенням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vAlign w:val="center"/>
            <w:textDirection w:val="lrTb"/>
            <w:noWrap w:val="false"/>
          </w:tcPr>
          <w:p w14:paraId="7423A5A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vAlign w:val="center"/>
            <w:textDirection w:val="lrTb"/>
            <w:noWrap w:val="false"/>
          </w:tcPr>
          <w:p w14:paraId="50E1FAFC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vAlign w:val="center"/>
            <w:textDirection w:val="lrTb"/>
            <w:noWrap w:val="false"/>
          </w:tcPr>
          <w:p w14:paraId="0026980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vAlign w:val="center"/>
            <w:textDirection w:val="lrTb"/>
            <w:noWrap w:val="false"/>
          </w:tcPr>
          <w:p w14:paraId="5033CB2C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укриття необхідним обладнанням, запасами питної води, аптечками, засобами зв'язку, освітленням та інформаційними матеріалами відповідно до встановлених вимог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vAlign w:val="center"/>
            <w:textDirection w:val="lrTb"/>
            <w:noWrap w:val="false"/>
          </w:tcPr>
          <w:p w14:paraId="7BE9797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vAlign w:val="center"/>
            <w:textDirection w:val="lrTb"/>
            <w:noWrap w:val="false"/>
          </w:tcPr>
          <w:p w14:paraId="062A4E49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4AFDC22B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«ЦОЗУО»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  <w:p w14:paraId="5D63D12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vAlign w:val="center"/>
            <w:textDirection w:val="lrTb"/>
            <w:noWrap w:val="false"/>
          </w:tcPr>
          <w:p w14:paraId="35CB2DA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vAlign w:val="center"/>
            <w:textDirection w:val="lrTb"/>
            <w:noWrap w:val="false"/>
          </w:tcPr>
          <w:p w14:paraId="19B4B22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Оновити схеми евакуації, маршрути руху до укриттів та розмістити інформаційні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покажчики в приміщеннях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vAlign w:val="center"/>
            <w:textDirection w:val="lrTb"/>
            <w:noWrap w:val="false"/>
          </w:tcPr>
          <w:p w14:paraId="2617AE57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vAlign w:val="center"/>
            <w:textDirection w:val="lrTb"/>
            <w:noWrap w:val="false"/>
          </w:tcPr>
          <w:p w14:paraId="19D8384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vAlign w:val="center"/>
            <w:textDirection w:val="lrTb"/>
            <w:noWrap w:val="false"/>
          </w:tcPr>
          <w:p w14:paraId="06DBD238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vAlign w:val="center"/>
            <w:textDirection w:val="lrTb"/>
            <w:noWrap w:val="false"/>
          </w:tcPr>
          <w:p w14:paraId="19DCB6A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практичні тренування та навчання учасників освітнього процесу щодо дій під час сигналу «Повітряна тривога» та інших надзвичайних ситуацій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vAlign w:val="center"/>
            <w:textDirection w:val="lrTb"/>
            <w:noWrap w:val="false"/>
          </w:tcPr>
          <w:p w14:paraId="12A4582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серпень 2026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vAlign w:val="center"/>
            <w:textDirection w:val="lrTb"/>
            <w:noWrap w:val="false"/>
          </w:tcPr>
          <w:p w14:paraId="46FBDB5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vAlign w:val="center"/>
            <w:textDirection w:val="lrTb"/>
            <w:noWrap w:val="false"/>
          </w:tcPr>
          <w:p w14:paraId="06E50BD7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6.6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vAlign w:val="center"/>
            <w:textDirection w:val="lrTb"/>
            <w:noWrap w:val="false"/>
          </w:tcPr>
          <w:p w14:paraId="366D1215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створення безпечних умов для організації освітнього процесу відповідно до безпекової ситуації та вимог воєнного стану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vAlign w:val="center"/>
            <w:textDirection w:val="lrTb"/>
            <w:noWrap w:val="false"/>
          </w:tcPr>
          <w:p w14:paraId="412C3E9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vAlign w:val="center"/>
            <w:textDirection w:val="lrTb"/>
            <w:noWrap w:val="false"/>
          </w:tcPr>
          <w:p w14:paraId="4FFBEE5D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gridSpan w:val="4"/>
            <w:tcBorders/>
            <w:tcW w:w="10031" w:type="dxa"/>
            <w:textDirection w:val="lrTb"/>
            <w:noWrap w:val="false"/>
          </w:tcPr>
          <w:p w14:paraId="35937664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7. Підсумкові заходи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143A531E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7.1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32BCE9BA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Подати до відділу освіти інформацію про готовність закладу освіти до нового навчального року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 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готовність укриттів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для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безпечних умов перебування учасників освітнього процесу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69DC194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25.08.2026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3BF531C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7E8F066C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7.2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298346F0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Провести огляд готовності закладів освіти до початку 2026/2027 навчального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47F43FDF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05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.08.2026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13760B66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згодою, представників органів місцевого самоврядування, територіальних органів ДСНС, Держпродспоживслужби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1088" w:type="dxa"/>
            <w:textDirection w:val="lrTb"/>
            <w:noWrap w:val="false"/>
          </w:tcPr>
          <w:p w14:paraId="66B6C347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7.3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922" w:type="dxa"/>
            <w:textDirection w:val="lrTb"/>
            <w:noWrap w:val="false"/>
          </w:tcPr>
          <w:p w14:paraId="66F77C41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Забезпечити організований початок 2026/2027 навчального року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1761" w:type="dxa"/>
            <w:textDirection w:val="lrTb"/>
            <w:noWrap w:val="false"/>
          </w:tcPr>
          <w:p w14:paraId="5A8C11E2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01.09.2026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  <w:tc>
          <w:tcPr>
            <w:tcBorders/>
            <w:tcW w:w="3260" w:type="dxa"/>
            <w:textDirection w:val="lrTb"/>
            <w:noWrap w:val="false"/>
          </w:tcPr>
          <w:p w14:paraId="14BEEB33">
            <w:pPr>
              <w:pBdr/>
              <w:spacing w:after="0"/>
              <w:ind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Керівники закладів освіти</w:t>
            </w:r>
            <w:bookmarkEnd w:id="1"/>
            <w:r/>
            <w:bookmarkEnd w:id="2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</w:r>
          </w:p>
        </w:tc>
      </w:tr>
    </w:tbl>
    <w:p w14:paraId="77907569">
      <w:pPr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3BF2A044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DA056FD">
      <w:pPr>
        <w:pBdr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34FAED3B">
      <w:pPr>
        <w:pStyle w:val="923"/>
        <w:pBdr/>
        <w:spacing/>
        <w:ind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відділу освіти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Антоніна ТУРОВА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>
      <w:pPr>
        <w:pStyle w:val="908"/>
        <w:pBdr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8A5253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cs="Symbol"/>
        <w:sz w:val="2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2B93536E"/>
    <w:lvl w:ilvl="0">
      <w:isLgl w:val="false"/>
      <w:lvlJc w:val="left"/>
      <w:lvlText w:val="-"/>
      <w:numFmt w:val="bullet"/>
      <w:pPr>
        <w:pBdr/>
        <w:spacing/>
        <w:ind w:hanging="360" w:left="1788"/>
      </w:pPr>
      <w:rPr>
        <w:rFonts w:ascii="Times New Roman" w:hAnsi="Times New Roman" w:eastAsia="Times New Roman" w:cs="Times New Roman"/>
      </w:rPr>
      <w:start w:val="186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508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228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948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668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388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108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828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548"/>
      </w:pPr>
      <w:rPr>
        <w:rFonts w:ascii="Wingdings" w:hAnsi="Wingdings"/>
      </w:rPr>
      <w:start w:val="1"/>
      <w:suff w:val="tab"/>
    </w:lvl>
  </w:abstractNum>
  <w:abstractNum w:abstractNumId="3">
    <w:nsid w:val="3E296B5F"/>
    <w:lvl w:ilvl="0">
      <w:isLgl w:val="false"/>
      <w:lvlJc w:val="left"/>
      <w:lvlText w:val="%1."/>
      <w:numFmt w:val="decimal"/>
      <w:pPr>
        <w:pBdr/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abstractNum w:abstractNumId="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5">
    <w:nsid w:val="7B541757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">
    <w:nsid w:val="10745DF5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20"/>
      </w:pPr>
      <w:rPr>
        <w:rFonts w:hint="default"/>
      </w:rPr>
      <w:start w:val="1"/>
      <w:suff w:val="tab"/>
    </w:lvl>
  </w:abstractNum>
  <w:abstractNum w:abstractNumId="7">
    <w:nsid w:val="496146C7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8">
    <w:nsid w:val="10745DF5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08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44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0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16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20"/>
      </w:pPr>
      <w:rPr>
        <w:rFonts w:hint="default"/>
      </w:rPr>
      <w:start w:val="1"/>
      <w:suff w:val="tab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Table Grid"/>
    <w:basedOn w:val="7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Table Grid Light"/>
    <w:basedOn w:val="7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1"/>
    <w:basedOn w:val="7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2"/>
    <w:basedOn w:val="72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"/>
    <w:basedOn w:val="7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1"/>
    <w:basedOn w:val="7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2"/>
    <w:basedOn w:val="7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3"/>
    <w:basedOn w:val="7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4"/>
    <w:basedOn w:val="7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5"/>
    <w:basedOn w:val="7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6"/>
    <w:basedOn w:val="72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1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2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3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4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5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6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1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2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3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4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5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6"/>
    <w:basedOn w:val="72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1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2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3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4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5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6"/>
    <w:basedOn w:val="72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7">
    <w:name w:val="Heading 1"/>
    <w:basedOn w:val="908"/>
    <w:next w:val="908"/>
    <w:link w:val="85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8">
    <w:name w:val="Heading 2"/>
    <w:basedOn w:val="908"/>
    <w:next w:val="90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9">
    <w:name w:val="Heading 3"/>
    <w:basedOn w:val="908"/>
    <w:next w:val="908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0">
    <w:name w:val="Heading 4"/>
    <w:basedOn w:val="908"/>
    <w:next w:val="90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1">
    <w:name w:val="Heading 5"/>
    <w:basedOn w:val="908"/>
    <w:next w:val="908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2">
    <w:name w:val="Heading 6"/>
    <w:basedOn w:val="908"/>
    <w:next w:val="908"/>
    <w:link w:val="86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3">
    <w:name w:val="Heading 7"/>
    <w:basedOn w:val="908"/>
    <w:next w:val="908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4">
    <w:name w:val="Heading 8"/>
    <w:basedOn w:val="908"/>
    <w:next w:val="908"/>
    <w:link w:val="86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5">
    <w:name w:val="Heading 9"/>
    <w:basedOn w:val="908"/>
    <w:next w:val="908"/>
    <w:link w:val="86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6" w:default="1">
    <w:name w:val="Default Paragraph Font"/>
    <w:uiPriority w:val="1"/>
    <w:semiHidden/>
    <w:unhideWhenUsed/>
    <w:pPr>
      <w:pBdr/>
      <w:spacing/>
      <w:ind/>
    </w:pPr>
  </w:style>
  <w:style w:type="numbering" w:styleId="857" w:default="1">
    <w:name w:val="No List"/>
    <w:uiPriority w:val="99"/>
    <w:semiHidden/>
    <w:unhideWhenUsed/>
    <w:pPr>
      <w:pBdr/>
      <w:spacing/>
      <w:ind/>
    </w:pPr>
  </w:style>
  <w:style w:type="character" w:styleId="858">
    <w:name w:val="Heading 1 Char"/>
    <w:basedOn w:val="856"/>
    <w:link w:val="84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9">
    <w:name w:val="Heading 2 Char"/>
    <w:basedOn w:val="856"/>
    <w:link w:val="84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0">
    <w:name w:val="Heading 3 Char"/>
    <w:basedOn w:val="856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1">
    <w:name w:val="Heading 4 Char"/>
    <w:basedOn w:val="856"/>
    <w:link w:val="85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2">
    <w:name w:val="Heading 5 Char"/>
    <w:basedOn w:val="856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3">
    <w:name w:val="Heading 6 Char"/>
    <w:basedOn w:val="856"/>
    <w:link w:val="85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4">
    <w:name w:val="Heading 7 Char"/>
    <w:basedOn w:val="856"/>
    <w:link w:val="85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5">
    <w:name w:val="Heading 8 Char"/>
    <w:basedOn w:val="856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9 Char"/>
    <w:basedOn w:val="856"/>
    <w:link w:val="85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7">
    <w:name w:val="Title"/>
    <w:basedOn w:val="908"/>
    <w:next w:val="908"/>
    <w:link w:val="86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8">
    <w:name w:val="Title Char"/>
    <w:basedOn w:val="856"/>
    <w:link w:val="86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9">
    <w:name w:val="Subtitle"/>
    <w:basedOn w:val="908"/>
    <w:next w:val="908"/>
    <w:link w:val="87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0">
    <w:name w:val="Subtitle Char"/>
    <w:basedOn w:val="856"/>
    <w:link w:val="86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1">
    <w:name w:val="Quote"/>
    <w:basedOn w:val="908"/>
    <w:next w:val="908"/>
    <w:link w:val="87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2">
    <w:name w:val="Quote Char"/>
    <w:basedOn w:val="856"/>
    <w:link w:val="87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3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874">
    <w:name w:val="Intense Emphasis"/>
    <w:basedOn w:val="8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8"/>
    <w:next w:val="908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856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8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78">
    <w:name w:val="Subtle Emphasis"/>
    <w:basedOn w:val="8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9">
    <w:name w:val="Emphasis"/>
    <w:basedOn w:val="856"/>
    <w:uiPriority w:val="20"/>
    <w:qFormat/>
    <w:pPr>
      <w:pBdr/>
      <w:spacing/>
      <w:ind/>
    </w:pPr>
    <w:rPr>
      <w:i/>
      <w:iCs/>
    </w:rPr>
  </w:style>
  <w:style w:type="character" w:styleId="880">
    <w:name w:val="Strong"/>
    <w:basedOn w:val="856"/>
    <w:uiPriority w:val="22"/>
    <w:qFormat/>
    <w:pPr>
      <w:pBdr/>
      <w:spacing/>
      <w:ind/>
    </w:pPr>
    <w:rPr>
      <w:b/>
      <w:bCs/>
    </w:rPr>
  </w:style>
  <w:style w:type="character" w:styleId="881">
    <w:name w:val="Subtle Reference"/>
    <w:basedOn w:val="8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2">
    <w:name w:val="Book Title"/>
    <w:basedOn w:val="8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3">
    <w:name w:val="Header"/>
    <w:basedOn w:val="908"/>
    <w:link w:val="88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4">
    <w:name w:val="Header Char"/>
    <w:basedOn w:val="856"/>
    <w:link w:val="883"/>
    <w:uiPriority w:val="99"/>
    <w:pPr>
      <w:pBdr/>
      <w:spacing/>
      <w:ind/>
    </w:pPr>
  </w:style>
  <w:style w:type="paragraph" w:styleId="885">
    <w:name w:val="Footer"/>
    <w:basedOn w:val="908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Footer Char"/>
    <w:basedOn w:val="856"/>
    <w:link w:val="885"/>
    <w:uiPriority w:val="99"/>
    <w:pPr>
      <w:pBdr/>
      <w:spacing/>
      <w:ind/>
    </w:pPr>
  </w:style>
  <w:style w:type="paragraph" w:styleId="887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8">
    <w:name w:val="footnote text"/>
    <w:basedOn w:val="908"/>
    <w:link w:val="88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9">
    <w:name w:val="Footnote Text Char"/>
    <w:basedOn w:val="856"/>
    <w:link w:val="888"/>
    <w:uiPriority w:val="99"/>
    <w:semiHidden/>
    <w:pPr>
      <w:pBdr/>
      <w:spacing/>
      <w:ind/>
    </w:pPr>
    <w:rPr>
      <w:sz w:val="20"/>
      <w:szCs w:val="20"/>
    </w:rPr>
  </w:style>
  <w:style w:type="character" w:styleId="890">
    <w:name w:val="footnote reference"/>
    <w:basedOn w:val="856"/>
    <w:uiPriority w:val="99"/>
    <w:semiHidden/>
    <w:unhideWhenUsed/>
    <w:pPr>
      <w:pBdr/>
      <w:spacing/>
      <w:ind/>
    </w:pPr>
    <w:rPr>
      <w:vertAlign w:val="superscript"/>
    </w:rPr>
  </w:style>
  <w:style w:type="paragraph" w:styleId="891">
    <w:name w:val="endnote text"/>
    <w:basedOn w:val="908"/>
    <w:link w:val="89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2">
    <w:name w:val="Endnote Text Char"/>
    <w:basedOn w:val="856"/>
    <w:link w:val="891"/>
    <w:uiPriority w:val="99"/>
    <w:semiHidden/>
    <w:pPr>
      <w:pBdr/>
      <w:spacing/>
      <w:ind/>
    </w:pPr>
    <w:rPr>
      <w:sz w:val="20"/>
      <w:szCs w:val="20"/>
    </w:rPr>
  </w:style>
  <w:style w:type="character" w:styleId="893">
    <w:name w:val="endnote reference"/>
    <w:basedOn w:val="856"/>
    <w:uiPriority w:val="99"/>
    <w:semiHidden/>
    <w:unhideWhenUsed/>
    <w:pPr>
      <w:pBdr/>
      <w:spacing/>
      <w:ind/>
    </w:pPr>
    <w:rPr>
      <w:vertAlign w:val="superscript"/>
    </w:rPr>
  </w:style>
  <w:style w:type="character" w:styleId="894">
    <w:name w:val="Hyperlink"/>
    <w:basedOn w:val="8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5">
    <w:name w:val="FollowedHyperlink"/>
    <w:basedOn w:val="8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6">
    <w:name w:val="toc 1"/>
    <w:basedOn w:val="908"/>
    <w:next w:val="908"/>
    <w:uiPriority w:val="39"/>
    <w:unhideWhenUsed/>
    <w:pPr>
      <w:pBdr/>
      <w:spacing w:after="100"/>
      <w:ind/>
    </w:pPr>
  </w:style>
  <w:style w:type="paragraph" w:styleId="897">
    <w:name w:val="toc 2"/>
    <w:basedOn w:val="908"/>
    <w:next w:val="908"/>
    <w:uiPriority w:val="39"/>
    <w:unhideWhenUsed/>
    <w:pPr>
      <w:pBdr/>
      <w:spacing w:after="100"/>
      <w:ind w:left="220"/>
    </w:pPr>
  </w:style>
  <w:style w:type="paragraph" w:styleId="898">
    <w:name w:val="toc 3"/>
    <w:basedOn w:val="908"/>
    <w:next w:val="908"/>
    <w:uiPriority w:val="39"/>
    <w:unhideWhenUsed/>
    <w:pPr>
      <w:pBdr/>
      <w:spacing w:after="100"/>
      <w:ind w:left="440"/>
    </w:pPr>
  </w:style>
  <w:style w:type="paragraph" w:styleId="899">
    <w:name w:val="toc 4"/>
    <w:basedOn w:val="908"/>
    <w:next w:val="908"/>
    <w:uiPriority w:val="39"/>
    <w:unhideWhenUsed/>
    <w:pPr>
      <w:pBdr/>
      <w:spacing w:after="100"/>
      <w:ind w:left="660"/>
    </w:pPr>
  </w:style>
  <w:style w:type="paragraph" w:styleId="900">
    <w:name w:val="toc 5"/>
    <w:basedOn w:val="908"/>
    <w:next w:val="908"/>
    <w:uiPriority w:val="39"/>
    <w:unhideWhenUsed/>
    <w:pPr>
      <w:pBdr/>
      <w:spacing w:after="100"/>
      <w:ind w:left="880"/>
    </w:pPr>
  </w:style>
  <w:style w:type="paragraph" w:styleId="901">
    <w:name w:val="toc 6"/>
    <w:basedOn w:val="908"/>
    <w:next w:val="908"/>
    <w:uiPriority w:val="39"/>
    <w:unhideWhenUsed/>
    <w:pPr>
      <w:pBdr/>
      <w:spacing w:after="100"/>
      <w:ind w:left="1100"/>
    </w:pPr>
  </w:style>
  <w:style w:type="paragraph" w:styleId="902">
    <w:name w:val="toc 7"/>
    <w:basedOn w:val="908"/>
    <w:next w:val="908"/>
    <w:uiPriority w:val="39"/>
    <w:unhideWhenUsed/>
    <w:pPr>
      <w:pBdr/>
      <w:spacing w:after="100"/>
      <w:ind w:left="1320"/>
    </w:pPr>
  </w:style>
  <w:style w:type="paragraph" w:styleId="903">
    <w:name w:val="toc 8"/>
    <w:basedOn w:val="908"/>
    <w:next w:val="908"/>
    <w:uiPriority w:val="39"/>
    <w:unhideWhenUsed/>
    <w:pPr>
      <w:pBdr/>
      <w:spacing w:after="100"/>
      <w:ind w:left="1540"/>
    </w:pPr>
  </w:style>
  <w:style w:type="paragraph" w:styleId="904">
    <w:name w:val="toc 9"/>
    <w:basedOn w:val="908"/>
    <w:next w:val="908"/>
    <w:uiPriority w:val="39"/>
    <w:unhideWhenUsed/>
    <w:pPr>
      <w:pBdr/>
      <w:spacing w:after="100"/>
      <w:ind w:left="1760"/>
    </w:pPr>
  </w:style>
  <w:style w:type="character" w:styleId="905">
    <w:name w:val="Placeholder Text"/>
    <w:basedOn w:val="856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next w:val="908"/>
    <w:link w:val="908"/>
    <w:qFormat/>
    <w:pPr>
      <w:pBdr/>
      <w:spacing/>
      <w:ind/>
    </w:pPr>
    <w:rPr>
      <w:lang w:val="ru-RU" w:eastAsia="ru-RU" w:bidi="ar-SA"/>
    </w:rPr>
  </w:style>
  <w:style w:type="paragraph" w:styleId="909">
    <w:name w:val="Заголовок 1"/>
    <w:basedOn w:val="908"/>
    <w:next w:val="908"/>
    <w:link w:val="908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10">
    <w:name w:val="Заголовок 2"/>
    <w:basedOn w:val="908"/>
    <w:next w:val="908"/>
    <w:link w:val="90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11">
    <w:name w:val="Заголовок 3"/>
    <w:basedOn w:val="908"/>
    <w:next w:val="908"/>
    <w:link w:val="908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12">
    <w:name w:val="Заголовок 4"/>
    <w:basedOn w:val="908"/>
    <w:next w:val="908"/>
    <w:link w:val="908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13">
    <w:name w:val="Основной шрифт абзаца"/>
    <w:next w:val="913"/>
    <w:link w:val="908"/>
    <w:semiHidden/>
    <w:pPr>
      <w:pBdr/>
      <w:spacing/>
      <w:ind/>
    </w:pPr>
  </w:style>
  <w:style w:type="table" w:styleId="914">
    <w:name w:val="Обычная таблица"/>
    <w:next w:val="914"/>
    <w:link w:val="908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5">
    <w:name w:val="Нет списка"/>
    <w:next w:val="915"/>
    <w:link w:val="908"/>
    <w:semiHidden/>
    <w:pPr>
      <w:pBdr/>
      <w:spacing/>
      <w:ind/>
    </w:pPr>
  </w:style>
  <w:style w:type="paragraph" w:styleId="916">
    <w:name w:val="Верхний колонтитул"/>
    <w:basedOn w:val="908"/>
    <w:next w:val="916"/>
    <w:link w:val="90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7">
    <w:name w:val="Нижний колонтитул"/>
    <w:basedOn w:val="908"/>
    <w:next w:val="917"/>
    <w:link w:val="908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18">
    <w:name w:val="Основной текст"/>
    <w:basedOn w:val="908"/>
    <w:next w:val="918"/>
    <w:link w:val="908"/>
    <w:pPr>
      <w:pBdr/>
      <w:spacing/>
      <w:ind w:right="-2"/>
      <w:jc w:val="both"/>
    </w:pPr>
    <w:rPr>
      <w:sz w:val="28"/>
      <w:lang w:val="uk-UA"/>
    </w:rPr>
  </w:style>
  <w:style w:type="paragraph" w:styleId="919">
    <w:name w:val="Основной текст 2"/>
    <w:basedOn w:val="908"/>
    <w:next w:val="919"/>
    <w:link w:val="908"/>
    <w:pPr>
      <w:pBdr/>
      <w:spacing/>
      <w:ind/>
    </w:pPr>
    <w:rPr>
      <w:sz w:val="28"/>
      <w:lang w:val="uk-UA"/>
    </w:rPr>
  </w:style>
  <w:style w:type="paragraph" w:styleId="920">
    <w:name w:val="UserStyle_0"/>
    <w:basedOn w:val="908"/>
    <w:next w:val="920"/>
    <w:link w:val="908"/>
    <w:pPr>
      <w:pBdr/>
      <w:spacing/>
      <w:ind/>
    </w:pPr>
    <w:rPr>
      <w:rFonts w:ascii="Verdana" w:hAnsi="Verdana" w:cs="Verdana"/>
      <w:lang w:val="en-US" w:eastAsia="en-US"/>
    </w:rPr>
  </w:style>
  <w:style w:type="paragraph" w:styleId="921">
    <w:name w:val="Текст выноски"/>
    <w:basedOn w:val="908"/>
    <w:next w:val="921"/>
    <w:link w:val="908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22">
    <w:name w:val="Строгий"/>
    <w:next w:val="922"/>
    <w:link w:val="908"/>
    <w:qFormat/>
    <w:pPr>
      <w:pBdr/>
      <w:spacing/>
      <w:ind/>
    </w:pPr>
    <w:rPr>
      <w:b/>
      <w:bCs/>
    </w:rPr>
  </w:style>
  <w:style w:type="paragraph" w:styleId="923">
    <w:name w:val="Без интервала"/>
    <w:next w:val="923"/>
    <w:link w:val="908"/>
    <w:uiPriority w:val="1"/>
    <w:qFormat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character" w:styleId="924">
    <w:name w:val="Выделение"/>
    <w:next w:val="924"/>
    <w:link w:val="908"/>
    <w:qFormat/>
    <w:pPr>
      <w:pBdr/>
      <w:spacing/>
      <w:ind/>
    </w:pPr>
    <w:rPr>
      <w:i/>
      <w:iCs/>
    </w:rPr>
  </w:style>
  <w:style w:type="character" w:styleId="925">
    <w:name w:val="Гиперссылка"/>
    <w:next w:val="925"/>
    <w:link w:val="908"/>
    <w:pPr>
      <w:pBdr/>
      <w:spacing/>
      <w:ind/>
    </w:pPr>
    <w:rPr>
      <w:color w:val="0000ff"/>
      <w:u w:val="single"/>
    </w:rPr>
  </w:style>
  <w:style w:type="paragraph" w:styleId="926">
    <w:name w:val="No Spacing"/>
    <w:next w:val="926"/>
    <w:link w:val="927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character" w:styleId="927">
    <w:name w:val="No Spacing Char"/>
    <w:next w:val="927"/>
    <w:link w:val="926"/>
    <w:pPr>
      <w:pBdr/>
      <w:spacing/>
      <w:ind/>
    </w:pPr>
    <w:rPr>
      <w:rFonts w:ascii="Calibri" w:hAnsi="Calibri"/>
      <w:sz w:val="22"/>
      <w:szCs w:val="22"/>
      <w:lang w:val="ru-RU" w:eastAsia="en-US" w:bidi="ar-SA"/>
    </w:rPr>
  </w:style>
  <w:style w:type="paragraph" w:styleId="928">
    <w:name w:val="Без інтервалів"/>
    <w:next w:val="928"/>
    <w:link w:val="929"/>
    <w:qFormat/>
    <w:pPr>
      <w:pBdr/>
      <w:spacing/>
      <w:ind/>
    </w:pPr>
    <w:rPr>
      <w:rFonts w:ascii="Calibri" w:hAnsi="Calibri" w:eastAsia="Calibri"/>
      <w:sz w:val="22"/>
      <w:szCs w:val="22"/>
      <w:lang w:val="uk-UA" w:eastAsia="en-US" w:bidi="ar-SA"/>
    </w:rPr>
  </w:style>
  <w:style w:type="character" w:styleId="929">
    <w:name w:val="Без інтервалів Знак"/>
    <w:next w:val="929"/>
    <w:link w:val="928"/>
    <w:pPr>
      <w:pBdr/>
      <w:spacing/>
      <w:ind/>
    </w:pPr>
    <w:rPr>
      <w:rFonts w:ascii="Calibri" w:hAnsi="Calibri" w:eastAsia="Calibri"/>
      <w:sz w:val="22"/>
      <w:szCs w:val="22"/>
      <w:lang w:val="uk-UA" w:eastAsia="en-US" w:bidi="ar-SA"/>
    </w:rPr>
  </w:style>
  <w:style w:type="character" w:styleId="930">
    <w:name w:val="docdata"/>
    <w:next w:val="930"/>
    <w:link w:val="908"/>
    <w:pPr>
      <w:pBdr/>
      <w:spacing/>
      <w:ind/>
    </w:pPr>
  </w:style>
  <w:style w:type="paragraph" w:styleId="931">
    <w:name w:val="Знак"/>
    <w:basedOn w:val="908"/>
    <w:next w:val="931"/>
    <w:link w:val="913"/>
    <w:pPr>
      <w:pBdr/>
      <w:spacing/>
      <w:ind/>
    </w:pPr>
    <w:rPr>
      <w:rFonts w:ascii="Verdana" w:hAnsi="Verdana" w:cs="Verdana"/>
      <w:lang w:val="en-US" w:eastAsia="en-US"/>
    </w:rPr>
  </w:style>
  <w:style w:type="paragraph" w:styleId="932">
    <w:name w:val="Обычный (веб)"/>
    <w:next w:val="932"/>
    <w:link w:val="908"/>
    <w:pPr>
      <w:pBdr/>
      <w:spacing w:after="100" w:afterAutospacing="1" w:before="100" w:beforeAutospacing="1"/>
      <w:ind/>
    </w:pPr>
    <w:rPr>
      <w:sz w:val="24"/>
      <w:szCs w:val="24"/>
      <w:lang w:val="en-US" w:eastAsia="zh-CN" w:bidi="ar-SA"/>
    </w:rPr>
  </w:style>
  <w:style w:type="table" w:styleId="933" w:customStyle="1">
    <w:name w:val="Table"/>
    <w:semiHidden/>
    <w:unhideWhenUsed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200" w:afterAutospacing="0" w:before="0" w:beforeAutospacing="0" w:line="240" w:lineRule="auto"/>
      <w:ind w:right="0" w:firstLine="0" w:left="0"/>
      <w:contextualSpacing w:val="false"/>
      <w:jc w:val="left"/>
    </w:pPr>
    <w:rPr>
      <w:rFonts w:hint="default" w:asciiTheme="minorHAnsi" w:hAnsiTheme="minorHAnsi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en-US" w:eastAsia="en-US" w:bidi="ar-SA"/>
      <w14:ligatures w14:val="none"/>
    </w:rPr>
    <w:tblPr>
      <w:tblStyleRowBandSize w:val="1"/>
      <w:tblStyleColBandSize w:val="1"/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Layout w:type="autofit"/>
    </w:tblPr>
    <w:trPr>
      <w:cantSplit w:val="false"/>
      <w:jc w:val="left"/>
    </w:trPr>
    <w:tcPr>
      <w:tcBorders/>
      <w:tcW w:w="0" w:type="auto"/>
      <w:vAlign w:val="top"/>
      <w:vMerge w:val="restart"/>
      <w:hMerge w:val="restart"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rPr>
        <w:jc w:val="left"/>
      </w:trPr>
      <w:tcPr>
        <w:tcBorders>
          <w:bottom w:val="single" w:color="000000" w:sz="0" w:space="0"/>
        </w:tcBorders>
        <w:vAlign w:val="bottom"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18</cp:revision>
  <dcterms:created xsi:type="dcterms:W3CDTF">2025-05-30T08:33:00Z</dcterms:created>
  <dcterms:modified xsi:type="dcterms:W3CDTF">2026-06-11T10:48:00Z</dcterms:modified>
  <cp:version>983040</cp:version>
</cp:coreProperties>
</file>